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color w:val="03174b"/>
          <w:sz w:val="68"/>
          <w:szCs w:val="68"/>
        </w:rPr>
      </w:pPr>
      <w:bookmarkStart w:colFirst="0" w:colLast="0" w:name="_heading=h.gjdgxs" w:id="0"/>
      <w:bookmarkEnd w:id="0"/>
      <w:r w:rsidDel="00000000" w:rsidR="00000000" w:rsidRPr="00000000">
        <w:rPr>
          <w:color w:val="03174b"/>
          <w:sz w:val="68"/>
          <w:szCs w:val="68"/>
          <w:rtl w:val="0"/>
        </w:rPr>
        <w:t xml:space="preserve">Worksheet</w:t>
      </w:r>
    </w:p>
    <w:p w:rsidR="00000000" w:rsidDel="00000000" w:rsidP="00000000" w:rsidRDefault="00000000" w:rsidRPr="00000000" w14:paraId="00000002">
      <w:pPr>
        <w:keepLines w:val="1"/>
        <w:spacing w:after="0" w:line="240" w:lineRule="auto"/>
        <w:rPr>
          <w:b w:val="1"/>
          <w:i w:val="1"/>
          <w:color w:val="03174b"/>
        </w:rPr>
      </w:pPr>
      <w:r w:rsidDel="00000000" w:rsidR="00000000" w:rsidRPr="00000000">
        <w:rPr>
          <w:b w:val="1"/>
          <w:i w:val="1"/>
          <w:color w:val="03174b"/>
          <w:rtl w:val="0"/>
        </w:rPr>
        <w:t xml:space="preserve">The Edge Team Training</w:t>
      </w:r>
    </w:p>
    <w:p w:rsidR="00000000" w:rsidDel="00000000" w:rsidP="00000000" w:rsidRDefault="00000000" w:rsidRPr="00000000" w14:paraId="00000003">
      <w:pPr>
        <w:keepLines w:val="1"/>
        <w:spacing w:after="0" w:line="240" w:lineRule="auto"/>
        <w:rPr>
          <w:i w:val="1"/>
          <w:color w:val="03174b"/>
          <w:sz w:val="18"/>
          <w:szCs w:val="18"/>
        </w:rPr>
      </w:pPr>
      <w:r w:rsidDel="00000000" w:rsidR="00000000" w:rsidRPr="00000000">
        <w:rPr>
          <w:i w:val="1"/>
          <w:color w:val="00a1ed"/>
          <w:sz w:val="18"/>
          <w:szCs w:val="18"/>
          <w:rtl w:val="0"/>
        </w:rPr>
        <w:t xml:space="preserve">Module 5 - Session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spacing w:after="0" w:line="240" w:lineRule="auto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spacing w:after="0" w:line="240" w:lineRule="auto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>
          <w:i w:val="1"/>
          <w:color w:val="00a1ed"/>
        </w:rPr>
      </w:pPr>
      <w:bookmarkStart w:colFirst="0" w:colLast="0" w:name="_heading=h.30j0zll" w:id="1"/>
      <w:bookmarkEnd w:id="1"/>
      <w:r w:rsidDel="00000000" w:rsidR="00000000" w:rsidRPr="00000000">
        <w:rPr>
          <w:color w:val="00a1ed"/>
          <w:rtl w:val="0"/>
        </w:rPr>
        <w:t xml:space="preserve">Leading Three Types of People</w:t>
      </w:r>
      <w:r w:rsidDel="00000000" w:rsidR="00000000" w:rsidRPr="00000000">
        <w:rPr>
          <w:i w:val="1"/>
          <w:color w:val="00a1ed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720" w:firstLine="0"/>
        <w:rPr>
          <w:b w:val="1"/>
          <w:color w:val="03174b"/>
          <w:u w:val="single"/>
        </w:rPr>
      </w:pPr>
      <w:r w:rsidDel="00000000" w:rsidR="00000000" w:rsidRPr="00000000">
        <w:rPr>
          <w:b w:val="1"/>
          <w:color w:val="03174b"/>
          <w:u w:val="single"/>
        </w:rPr>
        <w:drawing>
          <wp:inline distB="114300" distT="114300" distL="114300" distR="114300">
            <wp:extent cx="5943600" cy="19050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b w:val="1"/>
          <w:color w:val="03174b"/>
        </w:rPr>
      </w:pPr>
      <w:r w:rsidDel="00000000" w:rsidR="00000000" w:rsidRPr="00000000">
        <w:rPr>
          <w:b w:val="1"/>
          <w:color w:val="03174b"/>
          <w:u w:val="single"/>
          <w:rtl w:val="0"/>
        </w:rPr>
        <w:t xml:space="preserve">EXERCISE 1</w:t>
      </w:r>
      <w:r w:rsidDel="00000000" w:rsidR="00000000" w:rsidRPr="00000000">
        <w:rPr>
          <w:b w:val="1"/>
          <w:color w:val="03174b"/>
          <w:rtl w:val="0"/>
        </w:rPr>
        <w:t xml:space="preserve">.  Giving Feedback WISE and FOOLISH</w:t>
      </w:r>
      <w:r w:rsidDel="00000000" w:rsidR="00000000" w:rsidRPr="00000000">
        <w:rPr>
          <w:i w:val="1"/>
          <w:color w:val="03174b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color w:val="03174b"/>
        </w:rPr>
      </w:pPr>
      <w:r w:rsidDel="00000000" w:rsidR="00000000" w:rsidRPr="00000000">
        <w:rPr>
          <w:b w:val="1"/>
          <w:color w:val="03174b"/>
          <w:rtl w:val="0"/>
        </w:rPr>
        <w:t xml:space="preserve">Think of one person this week to whom you can give feedback. Based on the cheat sheet above, plan for the conversation to go either way.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720"/>
        <w:rPr>
          <w:color w:val="03174b"/>
        </w:rPr>
      </w:pPr>
      <w:r w:rsidDel="00000000" w:rsidR="00000000" w:rsidRPr="00000000">
        <w:rPr>
          <w:color w:val="03174b"/>
          <w:rtl w:val="0"/>
        </w:rPr>
        <w:t xml:space="preserve">What is your plan if they are “WISE”?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rPr>
          <w:color w:val="03174b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rPr>
          <w:color w:val="03174b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720"/>
        <w:rPr>
          <w:color w:val="03174b"/>
        </w:rPr>
      </w:pPr>
      <w:r w:rsidDel="00000000" w:rsidR="00000000" w:rsidRPr="00000000">
        <w:rPr>
          <w:color w:val="03174b"/>
          <w:rtl w:val="0"/>
        </w:rPr>
        <w:t xml:space="preserve">What is your plan if they are “FOOLISH”?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rPr>
          <w:color w:val="03174b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Fraunc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DM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after="0" w:lineRule="auto"/>
      <w:rPr>
        <w:sz w:val="20"/>
        <w:szCs w:val="20"/>
      </w:rPr>
    </w:pPr>
    <w:r w:rsidDel="00000000" w:rsidR="00000000" w:rsidRPr="00000000">
      <w:rPr>
        <w:rFonts w:ascii="Montserrat Light" w:cs="Montserrat Light" w:eastAsia="Montserrat Light" w:hAnsi="Montserrat Light"/>
        <w:i w:val="1"/>
        <w:color w:val="000000"/>
        <w:sz w:val="18"/>
        <w:szCs w:val="18"/>
        <w:rtl w:val="0"/>
      </w:rPr>
      <w:t xml:space="preserve">© Copyright 2023  i49 Group, Inc..  All rights reserved.  May not be reproduced without permission.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ind w:left="720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1129988" cy="490538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9988" cy="4905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DM Sans" w:cs="DM Sans" w:eastAsia="DM Sans" w:hAnsi="DM Sans"/>
        <w:color w:val="222222"/>
        <w:sz w:val="22"/>
        <w:szCs w:val="22"/>
        <w:lang w:val="en"/>
      </w:rPr>
    </w:rPrDefault>
    <w:pPrDefault>
      <w:pPr>
        <w:spacing w:after="28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rFonts w:ascii="Fraunces" w:cs="Fraunces" w:eastAsia="Fraunces" w:hAnsi="Fraunces"/>
      <w:b w:val="1"/>
      <w:color w:val="3e5e17"/>
      <w:sz w:val="56"/>
      <w:szCs w:val="5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lineRule="auto"/>
    </w:pPr>
    <w:rPr>
      <w:color w:val="dd8d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ind w:firstLine="360"/>
    </w:pPr>
    <w:rPr>
      <w:rFonts w:ascii="Fraunces" w:cs="Fraunces" w:eastAsia="Fraunces" w:hAnsi="Fraunces"/>
      <w:b w:val="1"/>
      <w:color w:val="f8f4f1"/>
      <w:sz w:val="96"/>
      <w:szCs w:val="9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rFonts w:ascii="Fraunces" w:cs="Fraunces" w:eastAsia="Fraunces" w:hAnsi="Fraunces"/>
      <w:b w:val="1"/>
      <w:color w:val="3e5e17"/>
      <w:sz w:val="56"/>
      <w:szCs w:val="5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lineRule="auto"/>
    </w:pPr>
    <w:rPr>
      <w:color w:val="dd8d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ind w:firstLine="360"/>
    </w:pPr>
    <w:rPr>
      <w:rFonts w:ascii="Fraunces" w:cs="Fraunces" w:eastAsia="Fraunces" w:hAnsi="Fraunces"/>
      <w:b w:val="1"/>
      <w:color w:val="f8f4f1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ind w:firstLine="360"/>
    </w:pPr>
    <w:rPr>
      <w:color w:val="f8f4f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ind w:firstLine="360"/>
    </w:pPr>
    <w:rPr>
      <w:color w:val="f8f4f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unces-regular.ttf"/><Relationship Id="rId2" Type="http://schemas.openxmlformats.org/officeDocument/2006/relationships/font" Target="fonts/Fraunces-bold.ttf"/><Relationship Id="rId3" Type="http://schemas.openxmlformats.org/officeDocument/2006/relationships/font" Target="fonts/Fraunces-italic.ttf"/><Relationship Id="rId4" Type="http://schemas.openxmlformats.org/officeDocument/2006/relationships/font" Target="fonts/Fraunces-boldItalic.ttf"/><Relationship Id="rId11" Type="http://schemas.openxmlformats.org/officeDocument/2006/relationships/font" Target="fonts/DMSans-italic.ttf"/><Relationship Id="rId10" Type="http://schemas.openxmlformats.org/officeDocument/2006/relationships/font" Target="fonts/DMSans-bold.ttf"/><Relationship Id="rId12" Type="http://schemas.openxmlformats.org/officeDocument/2006/relationships/font" Target="fonts/DMSans-boldItalic.ttf"/><Relationship Id="rId9" Type="http://schemas.openxmlformats.org/officeDocument/2006/relationships/font" Target="fonts/DMSans-regular.ttf"/><Relationship Id="rId5" Type="http://schemas.openxmlformats.org/officeDocument/2006/relationships/font" Target="fonts/MontserratLight-regular.ttf"/><Relationship Id="rId6" Type="http://schemas.openxmlformats.org/officeDocument/2006/relationships/font" Target="fonts/MontserratLight-bold.ttf"/><Relationship Id="rId7" Type="http://schemas.openxmlformats.org/officeDocument/2006/relationships/font" Target="fonts/MontserratLight-italic.ttf"/><Relationship Id="rId8" Type="http://schemas.openxmlformats.org/officeDocument/2006/relationships/font" Target="fonts/Montserrat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+K61m4evFSxgrEOt/Swa73UMjQ==">CgMxLjAyCGguZ2pkZ3hzMgloLjMwajB6bGw4AHIhMWFLaV91N2VqaWhFdmJGTS1wRzNGSzRnb19xLVc0VjZo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