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13185" w14:textId="492A0306" w:rsidR="00892B37" w:rsidRPr="00790015" w:rsidRDefault="00135471" w:rsidP="00135471">
      <w:pPr>
        <w:pStyle w:val="NoSpacing"/>
        <w:jc w:val="center"/>
        <w:rPr>
          <w:rFonts w:cstheme="minorHAnsi"/>
          <w:b/>
          <w:bCs/>
          <w:color w:val="0070C0"/>
          <w:sz w:val="40"/>
          <w:szCs w:val="40"/>
        </w:rPr>
      </w:pPr>
      <w:r w:rsidRPr="00790015">
        <w:rPr>
          <w:rFonts w:cstheme="minorHAnsi"/>
          <w:b/>
          <w:bCs/>
          <w:color w:val="0070C0"/>
          <w:sz w:val="40"/>
          <w:szCs w:val="40"/>
        </w:rPr>
        <w:t>Quick Reference Guide: Private Equity vs. Private Lending</w:t>
      </w:r>
    </w:p>
    <w:p w14:paraId="512A1EC8" w14:textId="77777777" w:rsidR="00892B37" w:rsidRDefault="00892B37" w:rsidP="003C5558">
      <w:pPr>
        <w:pStyle w:val="NoSpacing"/>
      </w:pPr>
    </w:p>
    <w:p w14:paraId="0A9B8018" w14:textId="77777777" w:rsidR="00892B37" w:rsidRDefault="00892B37" w:rsidP="003C5558">
      <w:pPr>
        <w:pStyle w:val="NoSpacing"/>
      </w:pPr>
    </w:p>
    <w:tbl>
      <w:tblPr>
        <w:tblStyle w:val="TableGrid"/>
        <w:tblW w:w="0" w:type="auto"/>
        <w:tblInd w:w="137" w:type="dxa"/>
        <w:tblLook w:val="04A0" w:firstRow="1" w:lastRow="0" w:firstColumn="1" w:lastColumn="0" w:noHBand="0" w:noVBand="1"/>
      </w:tblPr>
      <w:tblGrid>
        <w:gridCol w:w="2268"/>
        <w:gridCol w:w="4096"/>
        <w:gridCol w:w="4536"/>
      </w:tblGrid>
      <w:tr w:rsidR="00BB13A3" w14:paraId="06D6B15A" w14:textId="77777777" w:rsidTr="00B4673A">
        <w:trPr>
          <w:trHeight w:val="824"/>
        </w:trPr>
        <w:tc>
          <w:tcPr>
            <w:tcW w:w="2268" w:type="dxa"/>
          </w:tcPr>
          <w:p w14:paraId="2E217AB0" w14:textId="6804B4B2" w:rsidR="00BB13A3" w:rsidRPr="00135471" w:rsidRDefault="00B4673A" w:rsidP="003C5558">
            <w:pPr>
              <w:pStyle w:val="NoSpacing"/>
              <w:rPr>
                <w:b/>
                <w:bCs/>
              </w:rPr>
            </w:pPr>
            <w:r>
              <w:rPr>
                <w:b/>
                <w:bCs/>
              </w:rPr>
              <w:t>Key Factors to Consider:</w:t>
            </w:r>
          </w:p>
        </w:tc>
        <w:tc>
          <w:tcPr>
            <w:tcW w:w="4096" w:type="dxa"/>
          </w:tcPr>
          <w:p w14:paraId="32EECD4D" w14:textId="66B627B3" w:rsidR="00BB13A3" w:rsidRPr="00135471" w:rsidRDefault="00BB13A3" w:rsidP="003C5558">
            <w:pPr>
              <w:pStyle w:val="NoSpacing"/>
              <w:rPr>
                <w:b/>
                <w:bCs/>
              </w:rPr>
            </w:pPr>
            <w:r w:rsidRPr="00135471">
              <w:rPr>
                <w:b/>
                <w:bCs/>
              </w:rPr>
              <w:t xml:space="preserve">Private Equity </w:t>
            </w:r>
            <w:r w:rsidR="00135471">
              <w:rPr>
                <w:b/>
                <w:bCs/>
              </w:rPr>
              <w:t>– Land Development</w:t>
            </w:r>
          </w:p>
          <w:p w14:paraId="556C7DEA" w14:textId="7766844F" w:rsidR="00BB13A3" w:rsidRDefault="00BB13A3" w:rsidP="003C5558">
            <w:pPr>
              <w:pStyle w:val="NoSpacing"/>
            </w:pPr>
            <w:r w:rsidRPr="00135471">
              <w:rPr>
                <w:b/>
                <w:bCs/>
              </w:rPr>
              <w:t>(OWNER)</w:t>
            </w:r>
          </w:p>
        </w:tc>
        <w:tc>
          <w:tcPr>
            <w:tcW w:w="4536" w:type="dxa"/>
          </w:tcPr>
          <w:p w14:paraId="71196C8E" w14:textId="740AA65D" w:rsidR="00BB13A3" w:rsidRPr="00135471" w:rsidRDefault="00BB13A3" w:rsidP="003C5558">
            <w:pPr>
              <w:pStyle w:val="NoSpacing"/>
              <w:rPr>
                <w:b/>
                <w:bCs/>
              </w:rPr>
            </w:pPr>
            <w:r w:rsidRPr="00135471">
              <w:rPr>
                <w:b/>
                <w:bCs/>
              </w:rPr>
              <w:t xml:space="preserve">Private Lending </w:t>
            </w:r>
            <w:r w:rsidR="00135471">
              <w:rPr>
                <w:b/>
                <w:bCs/>
              </w:rPr>
              <w:t>- Mortgages</w:t>
            </w:r>
          </w:p>
          <w:p w14:paraId="3E275AE4" w14:textId="3F6A6E62" w:rsidR="00BB13A3" w:rsidRPr="00135471" w:rsidRDefault="00BB13A3" w:rsidP="003C5558">
            <w:pPr>
              <w:pStyle w:val="NoSpacing"/>
              <w:rPr>
                <w:b/>
                <w:bCs/>
              </w:rPr>
            </w:pPr>
            <w:r w:rsidRPr="00135471">
              <w:rPr>
                <w:b/>
                <w:bCs/>
              </w:rPr>
              <w:t>(LOANER)</w:t>
            </w:r>
          </w:p>
        </w:tc>
      </w:tr>
      <w:tr w:rsidR="00BB13A3" w14:paraId="10E33228" w14:textId="77777777" w:rsidTr="00B4673A">
        <w:trPr>
          <w:trHeight w:val="824"/>
        </w:trPr>
        <w:tc>
          <w:tcPr>
            <w:tcW w:w="2268" w:type="dxa"/>
          </w:tcPr>
          <w:p w14:paraId="7487C4E9" w14:textId="53F27AF5" w:rsidR="00BB13A3" w:rsidRPr="00135471" w:rsidRDefault="00BB13A3" w:rsidP="00B4673A">
            <w:pPr>
              <w:pStyle w:val="NoSpacing"/>
              <w:numPr>
                <w:ilvl w:val="0"/>
                <w:numId w:val="9"/>
              </w:numPr>
              <w:rPr>
                <w:b/>
                <w:bCs/>
              </w:rPr>
            </w:pPr>
            <w:r w:rsidRPr="00135471">
              <w:rPr>
                <w:b/>
                <w:bCs/>
              </w:rPr>
              <w:t>Risk &amp; Return</w:t>
            </w:r>
          </w:p>
        </w:tc>
        <w:tc>
          <w:tcPr>
            <w:tcW w:w="4096" w:type="dxa"/>
          </w:tcPr>
          <w:p w14:paraId="308C4BA3" w14:textId="77777777" w:rsidR="00BB13A3" w:rsidRDefault="00BB13A3" w:rsidP="003C5558">
            <w:pPr>
              <w:pStyle w:val="NoSpacing"/>
            </w:pPr>
            <w:r>
              <w:t>Higher Risk</w:t>
            </w:r>
          </w:p>
          <w:p w14:paraId="43959B62" w14:textId="77777777" w:rsidR="00BB13A3" w:rsidRDefault="00BB13A3" w:rsidP="003C5558">
            <w:pPr>
              <w:pStyle w:val="NoSpacing"/>
            </w:pPr>
            <w:r>
              <w:t>Return is tied to the success of the project</w:t>
            </w:r>
          </w:p>
          <w:p w14:paraId="42D3D199" w14:textId="7D471842" w:rsidR="00BB13A3" w:rsidRDefault="00BB13A3" w:rsidP="003C5558">
            <w:pPr>
              <w:pStyle w:val="NoSpacing"/>
            </w:pPr>
            <w:r>
              <w:t>Return is Variable</w:t>
            </w:r>
          </w:p>
        </w:tc>
        <w:tc>
          <w:tcPr>
            <w:tcW w:w="4536" w:type="dxa"/>
          </w:tcPr>
          <w:p w14:paraId="5F612AE5" w14:textId="77777777" w:rsidR="00BB13A3" w:rsidRDefault="00BB13A3" w:rsidP="003C5558">
            <w:pPr>
              <w:pStyle w:val="NoSpacing"/>
            </w:pPr>
            <w:r>
              <w:t>Lower Risk</w:t>
            </w:r>
          </w:p>
          <w:p w14:paraId="5F81BB3A" w14:textId="77777777" w:rsidR="00BB13A3" w:rsidRDefault="00BB13A3" w:rsidP="003C5558">
            <w:pPr>
              <w:pStyle w:val="NoSpacing"/>
            </w:pPr>
            <w:r>
              <w:t>Secured interest in the property</w:t>
            </w:r>
          </w:p>
          <w:p w14:paraId="531CBF49" w14:textId="38001037" w:rsidR="00BB13A3" w:rsidRDefault="00BB13A3" w:rsidP="003C5558">
            <w:pPr>
              <w:pStyle w:val="NoSpacing"/>
            </w:pPr>
            <w:r>
              <w:t>Return is Fixed</w:t>
            </w:r>
          </w:p>
        </w:tc>
      </w:tr>
      <w:tr w:rsidR="00BB13A3" w14:paraId="2BF50B73" w14:textId="77777777" w:rsidTr="00B4673A">
        <w:trPr>
          <w:trHeight w:val="824"/>
        </w:trPr>
        <w:tc>
          <w:tcPr>
            <w:tcW w:w="2268" w:type="dxa"/>
          </w:tcPr>
          <w:p w14:paraId="53E38014" w14:textId="1239578B" w:rsidR="00BB13A3" w:rsidRPr="00135471" w:rsidRDefault="00BB13A3" w:rsidP="00B4673A">
            <w:pPr>
              <w:pStyle w:val="NoSpacing"/>
              <w:numPr>
                <w:ilvl w:val="0"/>
                <w:numId w:val="9"/>
              </w:numPr>
              <w:rPr>
                <w:b/>
                <w:bCs/>
              </w:rPr>
            </w:pPr>
            <w:r w:rsidRPr="00135471">
              <w:rPr>
                <w:b/>
                <w:bCs/>
              </w:rPr>
              <w:t>Investment Structure</w:t>
            </w:r>
          </w:p>
        </w:tc>
        <w:tc>
          <w:tcPr>
            <w:tcW w:w="4096" w:type="dxa"/>
          </w:tcPr>
          <w:p w14:paraId="0B6B657B" w14:textId="77777777" w:rsidR="00BB13A3" w:rsidRDefault="00BB13A3" w:rsidP="003C5558">
            <w:pPr>
              <w:pStyle w:val="NoSpacing"/>
            </w:pPr>
            <w:r>
              <w:t>Partnership or Fund Structure</w:t>
            </w:r>
          </w:p>
          <w:p w14:paraId="01772F98" w14:textId="77777777" w:rsidR="00BB13A3" w:rsidRDefault="00BB13A3" w:rsidP="003C5558">
            <w:pPr>
              <w:pStyle w:val="NoSpacing"/>
            </w:pPr>
            <w:r>
              <w:t>Multiple Investors</w:t>
            </w:r>
          </w:p>
          <w:p w14:paraId="043FFEBA" w14:textId="77777777" w:rsidR="00BB13A3" w:rsidRDefault="00BB13A3" w:rsidP="003C5558">
            <w:pPr>
              <w:pStyle w:val="NoSpacing"/>
            </w:pPr>
            <w:r>
              <w:t>Typically earns Capital Gains (Check your agreements)</w:t>
            </w:r>
          </w:p>
          <w:p w14:paraId="7707EBD0" w14:textId="2A4C49F6" w:rsidR="00BB13A3" w:rsidRDefault="00BB13A3" w:rsidP="003C5558">
            <w:pPr>
              <w:pStyle w:val="NoSpacing"/>
            </w:pPr>
            <w:r>
              <w:t>Diversification of Risk</w:t>
            </w:r>
          </w:p>
        </w:tc>
        <w:tc>
          <w:tcPr>
            <w:tcW w:w="4536" w:type="dxa"/>
          </w:tcPr>
          <w:p w14:paraId="16AAA6FB" w14:textId="77777777" w:rsidR="00BB13A3" w:rsidRDefault="00BB13A3" w:rsidP="003C5558">
            <w:pPr>
              <w:pStyle w:val="NoSpacing"/>
            </w:pPr>
            <w:r>
              <w:t>Direct 1:1 relationship with lender &amp; borrower</w:t>
            </w:r>
          </w:p>
          <w:p w14:paraId="05EE8F1D" w14:textId="03E00B54" w:rsidR="00BB13A3" w:rsidRDefault="00BB13A3" w:rsidP="003C5558">
            <w:pPr>
              <w:pStyle w:val="NoSpacing"/>
            </w:pPr>
            <w:r>
              <w:t>Earns interest income</w:t>
            </w:r>
          </w:p>
        </w:tc>
      </w:tr>
      <w:tr w:rsidR="00BB13A3" w14:paraId="10259065" w14:textId="77777777" w:rsidTr="00B4673A">
        <w:trPr>
          <w:trHeight w:val="824"/>
        </w:trPr>
        <w:tc>
          <w:tcPr>
            <w:tcW w:w="2268" w:type="dxa"/>
          </w:tcPr>
          <w:p w14:paraId="1034BA2D" w14:textId="4C5F60B1" w:rsidR="00BB13A3" w:rsidRPr="00135471" w:rsidRDefault="00BB13A3" w:rsidP="00B4673A">
            <w:pPr>
              <w:pStyle w:val="NoSpacing"/>
              <w:numPr>
                <w:ilvl w:val="0"/>
                <w:numId w:val="9"/>
              </w:numPr>
              <w:rPr>
                <w:b/>
                <w:bCs/>
              </w:rPr>
            </w:pPr>
            <w:r w:rsidRPr="00135471">
              <w:rPr>
                <w:b/>
                <w:bCs/>
              </w:rPr>
              <w:t>Time Horizon</w:t>
            </w:r>
          </w:p>
        </w:tc>
        <w:tc>
          <w:tcPr>
            <w:tcW w:w="4096" w:type="dxa"/>
          </w:tcPr>
          <w:p w14:paraId="4B87D3D1" w14:textId="519F513D" w:rsidR="00135471" w:rsidRDefault="00135471" w:rsidP="003C5558">
            <w:pPr>
              <w:pStyle w:val="NoSpacing"/>
            </w:pPr>
            <w:r>
              <w:t>Mid length: 3-5 years</w:t>
            </w:r>
          </w:p>
          <w:p w14:paraId="5AAF9CDD" w14:textId="77777777" w:rsidR="00135471" w:rsidRDefault="00135471" w:rsidP="00135471">
            <w:pPr>
              <w:pStyle w:val="NoSpacing"/>
            </w:pPr>
            <w:r>
              <w:t>Long Term: 5-10+ years</w:t>
            </w:r>
          </w:p>
          <w:p w14:paraId="21065A3E" w14:textId="77777777" w:rsidR="00BB13A3" w:rsidRDefault="00BB13A3" w:rsidP="00135471">
            <w:pPr>
              <w:pStyle w:val="NoSpacing"/>
              <w:rPr>
                <w:lang w:val="en-US"/>
              </w:rPr>
            </w:pPr>
            <w:r w:rsidRPr="00BB13A3">
              <w:rPr>
                <w:lang w:val="en-US"/>
              </w:rPr>
              <w:t>This is because real estate projects take time to develop and generate returns.</w:t>
            </w:r>
          </w:p>
          <w:p w14:paraId="4CB0F84A" w14:textId="237FA6FA" w:rsidR="00BB13A3" w:rsidRPr="00BB13A3" w:rsidRDefault="00135471" w:rsidP="00135471">
            <w:pPr>
              <w:pStyle w:val="NoSpacing"/>
            </w:pPr>
            <w:r>
              <w:t>Make sure to ladder your investments and diversify your risk!</w:t>
            </w:r>
          </w:p>
          <w:p w14:paraId="72C5124A" w14:textId="42A36814" w:rsidR="00135471" w:rsidRDefault="00135471" w:rsidP="00135471">
            <w:pPr>
              <w:pStyle w:val="NoSpacing"/>
            </w:pPr>
          </w:p>
        </w:tc>
        <w:tc>
          <w:tcPr>
            <w:tcW w:w="4536" w:type="dxa"/>
          </w:tcPr>
          <w:p w14:paraId="537E7B63" w14:textId="77777777" w:rsidR="00BB13A3" w:rsidRDefault="00BB13A3" w:rsidP="003C5558">
            <w:pPr>
              <w:pStyle w:val="NoSpacing"/>
            </w:pPr>
            <w:r>
              <w:t>Short term</w:t>
            </w:r>
          </w:p>
          <w:p w14:paraId="7EA8E92D" w14:textId="77777777" w:rsidR="00BB13A3" w:rsidRDefault="00BB13A3" w:rsidP="003C5558">
            <w:pPr>
              <w:pStyle w:val="NoSpacing"/>
            </w:pPr>
            <w:r>
              <w:t>6 months – 3 years</w:t>
            </w:r>
          </w:p>
          <w:p w14:paraId="61DB884F" w14:textId="77777777" w:rsidR="00BB13A3" w:rsidRDefault="00BB13A3" w:rsidP="003C5558">
            <w:pPr>
              <w:pStyle w:val="NoSpacing"/>
            </w:pPr>
            <w:r>
              <w:t>Fixed Term</w:t>
            </w:r>
          </w:p>
          <w:p w14:paraId="0D5BA715" w14:textId="02210838" w:rsidR="00135471" w:rsidRDefault="00BB13A3" w:rsidP="003C5558">
            <w:pPr>
              <w:pStyle w:val="NoSpacing"/>
            </w:pPr>
            <w:r w:rsidRPr="00BB13A3">
              <w:rPr>
                <w:lang w:val="en-US"/>
              </w:rPr>
              <w:t>This means that the lender can quickly recoup their investment and earn a return</w:t>
            </w:r>
            <w:r w:rsidR="00135471">
              <w:rPr>
                <w:lang w:val="en-US"/>
              </w:rPr>
              <w:t>.</w:t>
            </w:r>
          </w:p>
        </w:tc>
      </w:tr>
      <w:tr w:rsidR="00BB13A3" w14:paraId="39424962" w14:textId="77777777" w:rsidTr="00B4673A">
        <w:trPr>
          <w:trHeight w:val="824"/>
        </w:trPr>
        <w:tc>
          <w:tcPr>
            <w:tcW w:w="2268" w:type="dxa"/>
          </w:tcPr>
          <w:p w14:paraId="7BBCD7F8" w14:textId="08E1D50F" w:rsidR="00BB13A3" w:rsidRPr="00135471" w:rsidRDefault="00BB13A3" w:rsidP="00B4673A">
            <w:pPr>
              <w:pStyle w:val="NoSpacing"/>
              <w:numPr>
                <w:ilvl w:val="0"/>
                <w:numId w:val="9"/>
              </w:numPr>
              <w:rPr>
                <w:b/>
                <w:bCs/>
              </w:rPr>
            </w:pPr>
            <w:r w:rsidRPr="00135471">
              <w:rPr>
                <w:b/>
                <w:bCs/>
              </w:rPr>
              <w:t>Control &amp; Involvement</w:t>
            </w:r>
          </w:p>
        </w:tc>
        <w:tc>
          <w:tcPr>
            <w:tcW w:w="4096" w:type="dxa"/>
          </w:tcPr>
          <w:p w14:paraId="44618CC0" w14:textId="77777777" w:rsidR="00135471" w:rsidRPr="00135471" w:rsidRDefault="00135471" w:rsidP="00135471">
            <w:pPr>
              <w:pStyle w:val="NoSpacing"/>
            </w:pPr>
            <w:r w:rsidRPr="00135471">
              <w:rPr>
                <w:lang w:val="en-US"/>
              </w:rPr>
              <w:t>As a limited partner in a land development deal, the participant has limited control over the project. They have the right to receive a share of the profits and losses, but they do not have a say in the management of the project. The general partner is responsible for making all decisions related to the development, while the limited partner's involvement is limited to providing capital and receiving returns on their investment.</w:t>
            </w:r>
          </w:p>
          <w:p w14:paraId="0C213C46" w14:textId="51D71608" w:rsidR="00135471" w:rsidRDefault="00135471" w:rsidP="003C5558">
            <w:pPr>
              <w:pStyle w:val="NoSpacing"/>
            </w:pPr>
          </w:p>
        </w:tc>
        <w:tc>
          <w:tcPr>
            <w:tcW w:w="4536" w:type="dxa"/>
          </w:tcPr>
          <w:p w14:paraId="2463651F" w14:textId="77777777" w:rsidR="00135471" w:rsidRPr="00135471" w:rsidRDefault="00135471" w:rsidP="00135471">
            <w:pPr>
              <w:pStyle w:val="NoSpacing"/>
            </w:pPr>
            <w:r w:rsidRPr="00135471">
              <w:rPr>
                <w:lang w:val="en-US"/>
              </w:rPr>
              <w:t xml:space="preserve">As a lender in a mortgage, the participant has control over the terms of the loan and the repayment schedule. They also have the right to foreclose on the property if the borrower fails to make payments. However, the lender is not involved in the management of the property and does not have any say in the day-to-day operations. </w:t>
            </w:r>
          </w:p>
          <w:p w14:paraId="72120B24" w14:textId="77777777" w:rsidR="00BB13A3" w:rsidRDefault="00BB13A3" w:rsidP="003C5558">
            <w:pPr>
              <w:pStyle w:val="NoSpacing"/>
            </w:pPr>
          </w:p>
        </w:tc>
      </w:tr>
      <w:tr w:rsidR="00BB13A3" w14:paraId="3A24F837" w14:textId="77777777" w:rsidTr="00B4673A">
        <w:trPr>
          <w:trHeight w:val="824"/>
        </w:trPr>
        <w:tc>
          <w:tcPr>
            <w:tcW w:w="2268" w:type="dxa"/>
          </w:tcPr>
          <w:p w14:paraId="6DB7D57A" w14:textId="02969E77" w:rsidR="00BB13A3" w:rsidRPr="00135471" w:rsidRDefault="00BB13A3" w:rsidP="00B4673A">
            <w:pPr>
              <w:pStyle w:val="NoSpacing"/>
              <w:numPr>
                <w:ilvl w:val="0"/>
                <w:numId w:val="9"/>
              </w:numPr>
              <w:rPr>
                <w:b/>
                <w:bCs/>
              </w:rPr>
            </w:pPr>
            <w:r w:rsidRPr="00135471">
              <w:rPr>
                <w:b/>
                <w:bCs/>
              </w:rPr>
              <w:t>Liquidity</w:t>
            </w:r>
          </w:p>
        </w:tc>
        <w:tc>
          <w:tcPr>
            <w:tcW w:w="4096" w:type="dxa"/>
          </w:tcPr>
          <w:p w14:paraId="1CD8FB7F" w14:textId="77777777" w:rsidR="00135471" w:rsidRDefault="00135471" w:rsidP="003C5558">
            <w:pPr>
              <w:pStyle w:val="NoSpacing"/>
            </w:pPr>
            <w:r>
              <w:t>Not Liquid (typically shareholder agreement or LPGP)</w:t>
            </w:r>
          </w:p>
          <w:p w14:paraId="5B95DEE3" w14:textId="7E1F3223" w:rsidR="00BB13A3" w:rsidRDefault="00135471" w:rsidP="003C5558">
            <w:pPr>
              <w:pStyle w:val="NoSpacing"/>
            </w:pPr>
            <w:r>
              <w:t>Need to find a buyer of your subscription agreement and you would forego all the future profits</w:t>
            </w:r>
          </w:p>
          <w:p w14:paraId="3F05FE42" w14:textId="75A98429" w:rsidR="00135471" w:rsidRDefault="00135471" w:rsidP="003C5558">
            <w:pPr>
              <w:pStyle w:val="NoSpacing"/>
            </w:pPr>
            <w:r>
              <w:t>May not have redemption rights, unless there is capital in the project – it is at the discretion of the General Partner.</w:t>
            </w:r>
          </w:p>
        </w:tc>
        <w:tc>
          <w:tcPr>
            <w:tcW w:w="4536" w:type="dxa"/>
          </w:tcPr>
          <w:p w14:paraId="76DA74D4" w14:textId="77777777" w:rsidR="00BB13A3" w:rsidRDefault="00135471" w:rsidP="003C5558">
            <w:pPr>
              <w:pStyle w:val="NoSpacing"/>
            </w:pPr>
            <w:r>
              <w:t>Liquid – You can sell your loan to another investor or institution if you need to exit.</w:t>
            </w:r>
          </w:p>
          <w:p w14:paraId="63F7F2A8" w14:textId="698379F8" w:rsidR="00135471" w:rsidRDefault="00135471" w:rsidP="003C5558">
            <w:pPr>
              <w:pStyle w:val="NoSpacing"/>
            </w:pPr>
            <w:r>
              <w:t>Fixed terms have a natural end date of when you will exit</w:t>
            </w:r>
          </w:p>
        </w:tc>
      </w:tr>
    </w:tbl>
    <w:p w14:paraId="6B49C9B5" w14:textId="77777777" w:rsidR="003C5558" w:rsidRDefault="003C5558" w:rsidP="003C5558">
      <w:pPr>
        <w:pStyle w:val="NoSpacing"/>
      </w:pPr>
    </w:p>
    <w:p w14:paraId="4028663B" w14:textId="77777777" w:rsidR="00BB13A3" w:rsidRPr="003C5558" w:rsidRDefault="00BB13A3" w:rsidP="003C5558">
      <w:pPr>
        <w:pStyle w:val="NoSpacing"/>
      </w:pPr>
    </w:p>
    <w:sectPr w:rsidR="00BB13A3" w:rsidRPr="003C5558" w:rsidSect="00E23A0E">
      <w:headerReference w:type="default" r:id="rId10"/>
      <w:footerReference w:type="default" r:id="rId11"/>
      <w:pgSz w:w="12240" w:h="15840"/>
      <w:pgMar w:top="360" w:right="360" w:bottom="806" w:left="36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3F18" w14:textId="77777777" w:rsidR="00B50479" w:rsidRDefault="00B50479" w:rsidP="00DE2590">
      <w:r>
        <w:separator/>
      </w:r>
    </w:p>
  </w:endnote>
  <w:endnote w:type="continuationSeparator" w:id="0">
    <w:p w14:paraId="7F6123B9" w14:textId="77777777" w:rsidR="00B50479" w:rsidRDefault="00B50479" w:rsidP="00D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2084" w14:textId="77777777" w:rsidR="00D00433" w:rsidRDefault="00D00433" w:rsidP="00632E3C">
    <w:pPr>
      <w:pStyle w:val="Footer"/>
      <w:ind w:left="-1134" w:right="-992"/>
    </w:pPr>
  </w:p>
  <w:p w14:paraId="4D288FCC" w14:textId="652819C9" w:rsidR="005B7520" w:rsidRPr="00843DFF" w:rsidRDefault="009C6755" w:rsidP="00632E3C">
    <w:pPr>
      <w:pStyle w:val="Footer"/>
      <w:ind w:left="-1134" w:right="-992"/>
    </w:pPr>
    <w:r>
      <w:rPr>
        <w:noProof/>
        <w:lang w:val="en-CA" w:eastAsia="en-CA"/>
      </w:rPr>
      <mc:AlternateContent>
        <mc:Choice Requires="wps">
          <w:drawing>
            <wp:anchor distT="0" distB="0" distL="114300" distR="114300" simplePos="0" relativeHeight="251663360" behindDoc="0" locked="0" layoutInCell="1" allowOverlap="1" wp14:anchorId="07980655" wp14:editId="7A79CD7A">
              <wp:simplePos x="0" y="0"/>
              <wp:positionH relativeFrom="column">
                <wp:posOffset>125546</wp:posOffset>
              </wp:positionH>
              <wp:positionV relativeFrom="paragraph">
                <wp:posOffset>589915</wp:posOffset>
              </wp:positionV>
              <wp:extent cx="7181871" cy="365760"/>
              <wp:effectExtent l="0" t="0" r="0" b="0"/>
              <wp:wrapNone/>
              <wp:docPr id="4" name="Text Box 4"/>
              <wp:cNvGraphicFramePr/>
              <a:graphic xmlns:a="http://schemas.openxmlformats.org/drawingml/2006/main">
                <a:graphicData uri="http://schemas.microsoft.com/office/word/2010/wordprocessingShape">
                  <wps:wsp>
                    <wps:cNvSpPr txBox="1"/>
                    <wps:spPr>
                      <a:xfrm>
                        <a:off x="0" y="0"/>
                        <a:ext cx="7181871" cy="365760"/>
                      </a:xfrm>
                      <a:prstGeom prst="rect">
                        <a:avLst/>
                      </a:prstGeom>
                      <a:noFill/>
                      <a:ln w="6350">
                        <a:noFill/>
                      </a:ln>
                    </wps:spPr>
                    <wps:txbx>
                      <w:txbxContent>
                        <w:p w14:paraId="37568334" w14:textId="318CBD26" w:rsidR="009C6755" w:rsidRPr="00887EED" w:rsidRDefault="009C6755" w:rsidP="00D00433">
                          <w:pPr>
                            <w:spacing w:line="312" w:lineRule="atLeast"/>
                            <w:jc w:val="center"/>
                            <w:rPr>
                              <w:rFonts w:ascii="Arial" w:eastAsia="Times New Roman" w:hAnsi="Arial" w:cs="Arial"/>
                              <w:color w:val="0083CA" w:themeColor="accent1"/>
                              <w:sz w:val="32"/>
                              <w:szCs w:val="32"/>
                              <w:lang w:val="en-CA"/>
                              <w14:textOutline w14:w="9525" w14:cap="rnd" w14:cmpd="sng" w14:algn="ctr">
                                <w14:noFill/>
                                <w14:prstDash w14:val="solid"/>
                                <w14:bevel/>
                              </w14:textOutline>
                            </w:rPr>
                          </w:pPr>
                          <w:r w:rsidRPr="00887EED">
                            <w:rPr>
                              <w:rFonts w:ascii="Arial" w:eastAsia="Times New Roman" w:hAnsi="Arial" w:cs="Arial"/>
                              <w:color w:val="0083CA" w:themeColor="accent1"/>
                              <w:sz w:val="32"/>
                              <w:szCs w:val="32"/>
                              <w:lang w:val="en-CA"/>
                              <w14:textOutline w14:w="9525" w14:cap="rnd" w14:cmpd="sng" w14:algn="ctr">
                                <w14:noFill/>
                                <w14:prstDash w14:val="solid"/>
                                <w14:bevel/>
                              </w14:textOutline>
                            </w:rPr>
                            <w:t>www.keyspire.com</w:t>
                          </w:r>
                        </w:p>
                        <w:p w14:paraId="0CF43DC2" w14:textId="77777777" w:rsidR="009C6755" w:rsidRPr="00887EED" w:rsidRDefault="009C6755" w:rsidP="009C6755">
                          <w:pPr>
                            <w:jc w:val="center"/>
                            <w:rPr>
                              <w:rFonts w:ascii="Arial" w:hAnsi="Arial" w:cs="Arial"/>
                              <w:color w:val="0083CA" w:themeColor="accent1"/>
                              <w:sz w:val="24"/>
                              <w:szCs w:val="24"/>
                              <w14:textOutline w14:w="9525" w14:cap="rnd" w14:cmpd="sng" w14:algn="ctr">
                                <w14:noFill/>
                                <w14:prstDash w14:val="solid"/>
                                <w14:bevel/>
                              </w14:textOutline>
                            </w:rPr>
                          </w:pPr>
                        </w:p>
                        <w:p w14:paraId="10F1E31E" w14:textId="77777777" w:rsidR="009C6755" w:rsidRPr="00887EED" w:rsidRDefault="009C6755" w:rsidP="009C6755">
                          <w:pPr>
                            <w:jc w:val="center"/>
                            <w:rPr>
                              <w:rFonts w:ascii="Arial" w:hAnsi="Arial" w:cs="Arial"/>
                              <w:color w:val="0083CA"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80655" id="_x0000_t202" coordsize="21600,21600" o:spt="202" path="m,l,21600r21600,l21600,xe">
              <v:stroke joinstyle="miter"/>
              <v:path gradientshapeok="t" o:connecttype="rect"/>
            </v:shapetype>
            <v:shape id="Text Box 4" o:spid="_x0000_s1026" type="#_x0000_t202" style="position:absolute;left:0;text-align:left;margin-left:9.9pt;margin-top:46.45pt;width:565.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" filled="f" stroked="f" strokeweight=".5pt">
              <v:textbox>
                <w:txbxContent>
                  <w:p w14:paraId="37568334" w14:textId="318CBD26" w:rsidR="009C6755" w:rsidRPr="00887EED" w:rsidRDefault="009C6755" w:rsidP="00D00433">
                    <w:pPr>
                      <w:spacing w:line="312" w:lineRule="atLeast"/>
                      <w:jc w:val="center"/>
                      <w:rPr>
                        <w:rFonts w:ascii="Arial" w:eastAsia="Times New Roman" w:hAnsi="Arial" w:cs="Arial"/>
                        <w:color w:val="0083CA" w:themeColor="accent1"/>
                        <w:sz w:val="32"/>
                        <w:szCs w:val="32"/>
                        <w:lang w:val="en-CA"/>
                        <w14:textOutline w14:w="9525" w14:cap="rnd" w14:cmpd="sng" w14:algn="ctr">
                          <w14:noFill/>
                          <w14:prstDash w14:val="solid"/>
                          <w14:bevel/>
                        </w14:textOutline>
                      </w:rPr>
                    </w:pPr>
                    <w:r w:rsidRPr="00887EED">
                      <w:rPr>
                        <w:rFonts w:ascii="Arial" w:eastAsia="Times New Roman" w:hAnsi="Arial" w:cs="Arial"/>
                        <w:color w:val="0083CA" w:themeColor="accent1"/>
                        <w:sz w:val="32"/>
                        <w:szCs w:val="32"/>
                        <w:lang w:val="en-CA"/>
                        <w14:textOutline w14:w="9525" w14:cap="rnd" w14:cmpd="sng" w14:algn="ctr">
                          <w14:noFill/>
                          <w14:prstDash w14:val="solid"/>
                          <w14:bevel/>
                        </w14:textOutline>
                      </w:rPr>
                      <w:t>www.keyspire.com</w:t>
                    </w:r>
                  </w:p>
                  <w:p w14:paraId="0CF43DC2" w14:textId="77777777" w:rsidR="009C6755" w:rsidRPr="00887EED" w:rsidRDefault="009C6755" w:rsidP="009C6755">
                    <w:pPr>
                      <w:jc w:val="center"/>
                      <w:rPr>
                        <w:rFonts w:ascii="Arial" w:hAnsi="Arial" w:cs="Arial"/>
                        <w:color w:val="0083CA" w:themeColor="accent1"/>
                        <w:sz w:val="24"/>
                        <w:szCs w:val="24"/>
                        <w14:textOutline w14:w="9525" w14:cap="rnd" w14:cmpd="sng" w14:algn="ctr">
                          <w14:noFill/>
                          <w14:prstDash w14:val="solid"/>
                          <w14:bevel/>
                        </w14:textOutline>
                      </w:rPr>
                    </w:pPr>
                  </w:p>
                  <w:p w14:paraId="10F1E31E" w14:textId="77777777" w:rsidR="009C6755" w:rsidRPr="00887EED" w:rsidRDefault="009C6755" w:rsidP="009C6755">
                    <w:pPr>
                      <w:jc w:val="center"/>
                      <w:rPr>
                        <w:rFonts w:ascii="Arial" w:hAnsi="Arial" w:cs="Arial"/>
                        <w:color w:val="0083CA" w:themeColor="accent1"/>
                      </w:rPr>
                    </w:pPr>
                  </w:p>
                </w:txbxContent>
              </v:textbox>
            </v:shape>
          </w:pict>
        </mc:Fallback>
      </mc:AlternateContent>
    </w:r>
    <w:r w:rsidR="005B7520">
      <w:rPr>
        <w:noProof/>
        <w:lang w:val="en-CA" w:eastAsia="en-CA"/>
      </w:rPr>
      <w:drawing>
        <wp:inline distT="0" distB="0" distL="0" distR="0" wp14:anchorId="5BDD325A" wp14:editId="552C2F19">
          <wp:extent cx="8270571" cy="129785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alphaModFix amt="35000"/>
                  </a:blip>
                  <a:srcRect b="12842"/>
                  <a:stretch/>
                </pic:blipFill>
                <pic:spPr bwMode="auto">
                  <a:xfrm>
                    <a:off x="0" y="0"/>
                    <a:ext cx="8290144" cy="130092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8AE5" w14:textId="77777777" w:rsidR="00B50479" w:rsidRDefault="00B50479" w:rsidP="00DE2590">
      <w:r>
        <w:separator/>
      </w:r>
    </w:p>
  </w:footnote>
  <w:footnote w:type="continuationSeparator" w:id="0">
    <w:p w14:paraId="185E3FF9" w14:textId="77777777" w:rsidR="00B50479" w:rsidRDefault="00B50479" w:rsidP="00DE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F373" w14:textId="713CA3D6" w:rsidR="005B7520" w:rsidRDefault="00887EED" w:rsidP="00DE2590">
    <w:pPr>
      <w:pStyle w:val="Header"/>
      <w:tabs>
        <w:tab w:val="left" w:pos="0"/>
      </w:tabs>
      <w:jc w:val="right"/>
    </w:pPr>
    <w:r>
      <w:t xml:space="preserve">     </w:t>
    </w:r>
    <w:r w:rsidR="00DE761A">
      <w:rPr>
        <w:noProof/>
        <w:lang w:val="en-CA" w:eastAsia="en-CA"/>
      </w:rPr>
      <w:drawing>
        <wp:inline distT="0" distB="0" distL="0" distR="0" wp14:anchorId="30463AB4" wp14:editId="1C97B47F">
          <wp:extent cx="1902460" cy="667966"/>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
                  <a:srcRect t="16578" r="7148"/>
                  <a:stretch/>
                </pic:blipFill>
                <pic:spPr bwMode="auto">
                  <a:xfrm>
                    <a:off x="0" y="0"/>
                    <a:ext cx="1903756" cy="6684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95C"/>
    <w:multiLevelType w:val="hybridMultilevel"/>
    <w:tmpl w:val="73D08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9F01ED"/>
    <w:multiLevelType w:val="hybridMultilevel"/>
    <w:tmpl w:val="0F5804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EA03B3"/>
    <w:multiLevelType w:val="hybridMultilevel"/>
    <w:tmpl w:val="4836BA8A"/>
    <w:lvl w:ilvl="0" w:tplc="F1A62D04">
      <w:start w:val="1"/>
      <w:numFmt w:val="decimal"/>
      <w:lvlText w:val="%1."/>
      <w:lvlJc w:val="left"/>
      <w:pPr>
        <w:tabs>
          <w:tab w:val="num" w:pos="720"/>
        </w:tabs>
        <w:ind w:left="720" w:hanging="360"/>
      </w:pPr>
    </w:lvl>
    <w:lvl w:ilvl="1" w:tplc="6952C94E" w:tentative="1">
      <w:start w:val="1"/>
      <w:numFmt w:val="decimal"/>
      <w:lvlText w:val="%2."/>
      <w:lvlJc w:val="left"/>
      <w:pPr>
        <w:tabs>
          <w:tab w:val="num" w:pos="1440"/>
        </w:tabs>
        <w:ind w:left="1440" w:hanging="360"/>
      </w:pPr>
    </w:lvl>
    <w:lvl w:ilvl="2" w:tplc="283CE2B6" w:tentative="1">
      <w:start w:val="1"/>
      <w:numFmt w:val="decimal"/>
      <w:lvlText w:val="%3."/>
      <w:lvlJc w:val="left"/>
      <w:pPr>
        <w:tabs>
          <w:tab w:val="num" w:pos="2160"/>
        </w:tabs>
        <w:ind w:left="2160" w:hanging="360"/>
      </w:pPr>
    </w:lvl>
    <w:lvl w:ilvl="3" w:tplc="F97E00B4" w:tentative="1">
      <w:start w:val="1"/>
      <w:numFmt w:val="decimal"/>
      <w:lvlText w:val="%4."/>
      <w:lvlJc w:val="left"/>
      <w:pPr>
        <w:tabs>
          <w:tab w:val="num" w:pos="2880"/>
        </w:tabs>
        <w:ind w:left="2880" w:hanging="360"/>
      </w:pPr>
    </w:lvl>
    <w:lvl w:ilvl="4" w:tplc="6BB6B394" w:tentative="1">
      <w:start w:val="1"/>
      <w:numFmt w:val="decimal"/>
      <w:lvlText w:val="%5."/>
      <w:lvlJc w:val="left"/>
      <w:pPr>
        <w:tabs>
          <w:tab w:val="num" w:pos="3600"/>
        </w:tabs>
        <w:ind w:left="3600" w:hanging="360"/>
      </w:pPr>
    </w:lvl>
    <w:lvl w:ilvl="5" w:tplc="E9B0A90E" w:tentative="1">
      <w:start w:val="1"/>
      <w:numFmt w:val="decimal"/>
      <w:lvlText w:val="%6."/>
      <w:lvlJc w:val="left"/>
      <w:pPr>
        <w:tabs>
          <w:tab w:val="num" w:pos="4320"/>
        </w:tabs>
        <w:ind w:left="4320" w:hanging="360"/>
      </w:pPr>
    </w:lvl>
    <w:lvl w:ilvl="6" w:tplc="F2041050" w:tentative="1">
      <w:start w:val="1"/>
      <w:numFmt w:val="decimal"/>
      <w:lvlText w:val="%7."/>
      <w:lvlJc w:val="left"/>
      <w:pPr>
        <w:tabs>
          <w:tab w:val="num" w:pos="5040"/>
        </w:tabs>
        <w:ind w:left="5040" w:hanging="360"/>
      </w:pPr>
    </w:lvl>
    <w:lvl w:ilvl="7" w:tplc="33D25920" w:tentative="1">
      <w:start w:val="1"/>
      <w:numFmt w:val="decimal"/>
      <w:lvlText w:val="%8."/>
      <w:lvlJc w:val="left"/>
      <w:pPr>
        <w:tabs>
          <w:tab w:val="num" w:pos="5760"/>
        </w:tabs>
        <w:ind w:left="5760" w:hanging="360"/>
      </w:pPr>
    </w:lvl>
    <w:lvl w:ilvl="8" w:tplc="BB3A37F0" w:tentative="1">
      <w:start w:val="1"/>
      <w:numFmt w:val="decimal"/>
      <w:lvlText w:val="%9."/>
      <w:lvlJc w:val="left"/>
      <w:pPr>
        <w:tabs>
          <w:tab w:val="num" w:pos="6480"/>
        </w:tabs>
        <w:ind w:left="6480" w:hanging="360"/>
      </w:pPr>
    </w:lvl>
  </w:abstractNum>
  <w:abstractNum w:abstractNumId="3" w15:restartNumberingAfterBreak="0">
    <w:nsid w:val="209D4FBC"/>
    <w:multiLevelType w:val="hybridMultilevel"/>
    <w:tmpl w:val="4EC42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763D5F"/>
    <w:multiLevelType w:val="hybridMultilevel"/>
    <w:tmpl w:val="2DC09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69D5B69"/>
    <w:multiLevelType w:val="hybridMultilevel"/>
    <w:tmpl w:val="574A20D8"/>
    <w:lvl w:ilvl="0" w:tplc="14C4232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A5E6430"/>
    <w:multiLevelType w:val="hybridMultilevel"/>
    <w:tmpl w:val="9C5C1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2C68F9"/>
    <w:multiLevelType w:val="hybridMultilevel"/>
    <w:tmpl w:val="517C9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E380E37"/>
    <w:multiLevelType w:val="hybridMultilevel"/>
    <w:tmpl w:val="10284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59626195">
    <w:abstractNumId w:val="5"/>
  </w:num>
  <w:num w:numId="2" w16cid:durableId="723985985">
    <w:abstractNumId w:val="0"/>
  </w:num>
  <w:num w:numId="3" w16cid:durableId="1389259555">
    <w:abstractNumId w:val="8"/>
  </w:num>
  <w:num w:numId="4" w16cid:durableId="1662613466">
    <w:abstractNumId w:val="6"/>
  </w:num>
  <w:num w:numId="5" w16cid:durableId="155653401">
    <w:abstractNumId w:val="3"/>
  </w:num>
  <w:num w:numId="6" w16cid:durableId="1427843175">
    <w:abstractNumId w:val="4"/>
  </w:num>
  <w:num w:numId="7" w16cid:durableId="1574005093">
    <w:abstractNumId w:val="7"/>
  </w:num>
  <w:num w:numId="8" w16cid:durableId="955603222">
    <w:abstractNumId w:val="2"/>
  </w:num>
  <w:num w:numId="9" w16cid:durableId="13507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90"/>
    <w:rsid w:val="00092D7F"/>
    <w:rsid w:val="000A2052"/>
    <w:rsid w:val="000A775B"/>
    <w:rsid w:val="000D1FAC"/>
    <w:rsid w:val="000D7064"/>
    <w:rsid w:val="000E1713"/>
    <w:rsid w:val="000F3C20"/>
    <w:rsid w:val="00135471"/>
    <w:rsid w:val="001838C2"/>
    <w:rsid w:val="001E3AB3"/>
    <w:rsid w:val="001F4F6A"/>
    <w:rsid w:val="00205592"/>
    <w:rsid w:val="0032180B"/>
    <w:rsid w:val="00381BF6"/>
    <w:rsid w:val="003C5558"/>
    <w:rsid w:val="004156D5"/>
    <w:rsid w:val="00455B77"/>
    <w:rsid w:val="004708DF"/>
    <w:rsid w:val="004A56AE"/>
    <w:rsid w:val="005140E2"/>
    <w:rsid w:val="0054436C"/>
    <w:rsid w:val="005B7520"/>
    <w:rsid w:val="00604F8A"/>
    <w:rsid w:val="00632E3C"/>
    <w:rsid w:val="006439CD"/>
    <w:rsid w:val="00645905"/>
    <w:rsid w:val="0066216E"/>
    <w:rsid w:val="00662EB3"/>
    <w:rsid w:val="0068693E"/>
    <w:rsid w:val="006A05DC"/>
    <w:rsid w:val="006D13DC"/>
    <w:rsid w:val="006E760B"/>
    <w:rsid w:val="00704EEA"/>
    <w:rsid w:val="00746FE9"/>
    <w:rsid w:val="00790015"/>
    <w:rsid w:val="00797084"/>
    <w:rsid w:val="007A7672"/>
    <w:rsid w:val="007C39D2"/>
    <w:rsid w:val="007C39DB"/>
    <w:rsid w:val="00800C8B"/>
    <w:rsid w:val="008167E1"/>
    <w:rsid w:val="00843DFF"/>
    <w:rsid w:val="00866825"/>
    <w:rsid w:val="008848B6"/>
    <w:rsid w:val="00887EED"/>
    <w:rsid w:val="008902E4"/>
    <w:rsid w:val="00892B37"/>
    <w:rsid w:val="008953F3"/>
    <w:rsid w:val="008956FF"/>
    <w:rsid w:val="008F627E"/>
    <w:rsid w:val="009815C2"/>
    <w:rsid w:val="009C6755"/>
    <w:rsid w:val="009D120B"/>
    <w:rsid w:val="00A42F64"/>
    <w:rsid w:val="00A546BF"/>
    <w:rsid w:val="00AA725B"/>
    <w:rsid w:val="00AE73D3"/>
    <w:rsid w:val="00B16C51"/>
    <w:rsid w:val="00B26441"/>
    <w:rsid w:val="00B40BD9"/>
    <w:rsid w:val="00B4673A"/>
    <w:rsid w:val="00B50479"/>
    <w:rsid w:val="00B5622E"/>
    <w:rsid w:val="00B74B67"/>
    <w:rsid w:val="00BA191C"/>
    <w:rsid w:val="00BB13A3"/>
    <w:rsid w:val="00BF4869"/>
    <w:rsid w:val="00C1334A"/>
    <w:rsid w:val="00C651FA"/>
    <w:rsid w:val="00CE7834"/>
    <w:rsid w:val="00D00433"/>
    <w:rsid w:val="00D01119"/>
    <w:rsid w:val="00D03824"/>
    <w:rsid w:val="00D23B45"/>
    <w:rsid w:val="00D66BCD"/>
    <w:rsid w:val="00DE2590"/>
    <w:rsid w:val="00DE761A"/>
    <w:rsid w:val="00E23A0E"/>
    <w:rsid w:val="00E24D12"/>
    <w:rsid w:val="00E349E4"/>
    <w:rsid w:val="00E37397"/>
    <w:rsid w:val="00E470EF"/>
    <w:rsid w:val="00E51D5A"/>
    <w:rsid w:val="00E85F9C"/>
    <w:rsid w:val="00E862F8"/>
    <w:rsid w:val="00EE175C"/>
    <w:rsid w:val="00EE3222"/>
    <w:rsid w:val="00F05DF9"/>
    <w:rsid w:val="00F132EE"/>
    <w:rsid w:val="00F362AE"/>
    <w:rsid w:val="00F431DB"/>
    <w:rsid w:val="00F55B4A"/>
    <w:rsid w:val="00FA4BF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5A02736"/>
  <w15:docId w15:val="{158C03C8-0EE8-427E-92B3-E8EB9181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EastAsia" w:hAnsi="Helvetica Neue" w:cstheme="minorBidi"/>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6FA8"/>
    <w:rPr>
      <w:rFonts w:ascii="Lucida Grande" w:hAnsi="Lucida Grande"/>
      <w:sz w:val="18"/>
      <w:szCs w:val="18"/>
    </w:rPr>
  </w:style>
  <w:style w:type="paragraph" w:styleId="Header">
    <w:name w:val="header"/>
    <w:basedOn w:val="Normal"/>
    <w:link w:val="HeaderChar"/>
    <w:uiPriority w:val="99"/>
    <w:unhideWhenUsed/>
    <w:rsid w:val="00DE2590"/>
    <w:pPr>
      <w:tabs>
        <w:tab w:val="center" w:pos="4320"/>
        <w:tab w:val="right" w:pos="8640"/>
      </w:tabs>
    </w:pPr>
  </w:style>
  <w:style w:type="character" w:customStyle="1" w:styleId="HeaderChar">
    <w:name w:val="Header Char"/>
    <w:basedOn w:val="DefaultParagraphFont"/>
    <w:link w:val="Header"/>
    <w:uiPriority w:val="99"/>
    <w:rsid w:val="00DE2590"/>
  </w:style>
  <w:style w:type="paragraph" w:styleId="Footer">
    <w:name w:val="footer"/>
    <w:basedOn w:val="Normal"/>
    <w:link w:val="FooterChar"/>
    <w:uiPriority w:val="99"/>
    <w:unhideWhenUsed/>
    <w:rsid w:val="00DE2590"/>
    <w:pPr>
      <w:tabs>
        <w:tab w:val="center" w:pos="4320"/>
        <w:tab w:val="right" w:pos="8640"/>
      </w:tabs>
    </w:pPr>
  </w:style>
  <w:style w:type="character" w:customStyle="1" w:styleId="FooterChar">
    <w:name w:val="Footer Char"/>
    <w:basedOn w:val="DefaultParagraphFont"/>
    <w:link w:val="Footer"/>
    <w:uiPriority w:val="99"/>
    <w:rsid w:val="00DE2590"/>
  </w:style>
  <w:style w:type="paragraph" w:styleId="NoSpacing">
    <w:name w:val="No Spacing"/>
    <w:uiPriority w:val="1"/>
    <w:qFormat/>
    <w:rsid w:val="0068693E"/>
    <w:rPr>
      <w:rFonts w:asciiTheme="minorHAnsi" w:eastAsiaTheme="minorHAnsi" w:hAnsiTheme="minorHAnsi"/>
      <w:color w:val="auto"/>
      <w:lang w:val="en-CA"/>
    </w:rPr>
  </w:style>
  <w:style w:type="character" w:styleId="Hyperlink">
    <w:name w:val="Hyperlink"/>
    <w:basedOn w:val="DefaultParagraphFont"/>
    <w:uiPriority w:val="99"/>
    <w:unhideWhenUsed/>
    <w:rsid w:val="0068693E"/>
    <w:rPr>
      <w:color w:val="0563C1"/>
      <w:u w:val="single"/>
    </w:rPr>
  </w:style>
  <w:style w:type="paragraph" w:styleId="PlainText">
    <w:name w:val="Plain Text"/>
    <w:basedOn w:val="Normal"/>
    <w:link w:val="PlainTextChar"/>
    <w:uiPriority w:val="99"/>
    <w:semiHidden/>
    <w:unhideWhenUsed/>
    <w:rsid w:val="0068693E"/>
    <w:rPr>
      <w:rFonts w:ascii="Calibri" w:eastAsiaTheme="minorHAnsi" w:hAnsi="Calibri" w:cs="Times New Roman"/>
      <w:color w:val="auto"/>
      <w:sz w:val="24"/>
      <w:szCs w:val="24"/>
      <w:lang w:val="en-CA"/>
    </w:rPr>
  </w:style>
  <w:style w:type="character" w:customStyle="1" w:styleId="PlainTextChar">
    <w:name w:val="Plain Text Char"/>
    <w:basedOn w:val="DefaultParagraphFont"/>
    <w:link w:val="PlainText"/>
    <w:uiPriority w:val="99"/>
    <w:semiHidden/>
    <w:rsid w:val="0068693E"/>
    <w:rPr>
      <w:rFonts w:ascii="Calibri" w:eastAsiaTheme="minorHAnsi" w:hAnsi="Calibri" w:cs="Times New Roman"/>
      <w:color w:val="auto"/>
      <w:sz w:val="24"/>
      <w:szCs w:val="24"/>
      <w:lang w:val="en-CA"/>
    </w:rPr>
  </w:style>
  <w:style w:type="table" w:styleId="TableGrid">
    <w:name w:val="Table Grid"/>
    <w:basedOn w:val="TableNormal"/>
    <w:uiPriority w:val="39"/>
    <w:rsid w:val="0068693E"/>
    <w:rPr>
      <w:rFonts w:asciiTheme="minorHAnsi" w:eastAsiaTheme="minorHAnsi" w:hAnsiTheme="minorHAnsi"/>
      <w:color w:val="aut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693E"/>
    <w:pPr>
      <w:spacing w:before="100" w:beforeAutospacing="1" w:after="100" w:afterAutospacing="1"/>
    </w:pPr>
    <w:rPr>
      <w:rFonts w:ascii="Times New Roman" w:eastAsiaTheme="minorHAnsi" w:hAnsi="Times New Roman" w:cs="Times New Roman"/>
      <w:color w:val="auto"/>
      <w:sz w:val="24"/>
      <w:szCs w:val="24"/>
      <w:lang w:val="en-CA" w:eastAsia="en-CA"/>
    </w:rPr>
  </w:style>
  <w:style w:type="paragraph" w:styleId="ListParagraph">
    <w:name w:val="List Paragraph"/>
    <w:basedOn w:val="Normal"/>
    <w:uiPriority w:val="34"/>
    <w:qFormat/>
    <w:rsid w:val="00EE3222"/>
    <w:pPr>
      <w:ind w:left="720"/>
      <w:contextualSpacing/>
    </w:pPr>
  </w:style>
  <w:style w:type="character" w:styleId="Emphasis">
    <w:name w:val="Emphasis"/>
    <w:basedOn w:val="DefaultParagraphFont"/>
    <w:uiPriority w:val="20"/>
    <w:qFormat/>
    <w:rsid w:val="00EE3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5894">
      <w:bodyDiv w:val="1"/>
      <w:marLeft w:val="0"/>
      <w:marRight w:val="0"/>
      <w:marTop w:val="0"/>
      <w:marBottom w:val="0"/>
      <w:divBdr>
        <w:top w:val="none" w:sz="0" w:space="0" w:color="auto"/>
        <w:left w:val="none" w:sz="0" w:space="0" w:color="auto"/>
        <w:bottom w:val="none" w:sz="0" w:space="0" w:color="auto"/>
        <w:right w:val="none" w:sz="0" w:space="0" w:color="auto"/>
      </w:divBdr>
    </w:div>
    <w:div w:id="769278509">
      <w:bodyDiv w:val="1"/>
      <w:marLeft w:val="0"/>
      <w:marRight w:val="0"/>
      <w:marTop w:val="0"/>
      <w:marBottom w:val="0"/>
      <w:divBdr>
        <w:top w:val="none" w:sz="0" w:space="0" w:color="auto"/>
        <w:left w:val="none" w:sz="0" w:space="0" w:color="auto"/>
        <w:bottom w:val="none" w:sz="0" w:space="0" w:color="auto"/>
        <w:right w:val="none" w:sz="0" w:space="0" w:color="auto"/>
      </w:divBdr>
      <w:divsChild>
        <w:div w:id="777021854">
          <w:marLeft w:val="360"/>
          <w:marRight w:val="0"/>
          <w:marTop w:val="0"/>
          <w:marBottom w:val="0"/>
          <w:divBdr>
            <w:top w:val="none" w:sz="0" w:space="0" w:color="auto"/>
            <w:left w:val="none" w:sz="0" w:space="0" w:color="auto"/>
            <w:bottom w:val="none" w:sz="0" w:space="0" w:color="auto"/>
            <w:right w:val="none" w:sz="0" w:space="0" w:color="auto"/>
          </w:divBdr>
        </w:div>
        <w:div w:id="1559977235">
          <w:marLeft w:val="360"/>
          <w:marRight w:val="0"/>
          <w:marTop w:val="0"/>
          <w:marBottom w:val="0"/>
          <w:divBdr>
            <w:top w:val="none" w:sz="0" w:space="0" w:color="auto"/>
            <w:left w:val="none" w:sz="0" w:space="0" w:color="auto"/>
            <w:bottom w:val="none" w:sz="0" w:space="0" w:color="auto"/>
            <w:right w:val="none" w:sz="0" w:space="0" w:color="auto"/>
          </w:divBdr>
        </w:div>
        <w:div w:id="749425028">
          <w:marLeft w:val="360"/>
          <w:marRight w:val="0"/>
          <w:marTop w:val="0"/>
          <w:marBottom w:val="0"/>
          <w:divBdr>
            <w:top w:val="none" w:sz="0" w:space="0" w:color="auto"/>
            <w:left w:val="none" w:sz="0" w:space="0" w:color="auto"/>
            <w:bottom w:val="none" w:sz="0" w:space="0" w:color="auto"/>
            <w:right w:val="none" w:sz="0" w:space="0" w:color="auto"/>
          </w:divBdr>
        </w:div>
        <w:div w:id="1504586742">
          <w:marLeft w:val="360"/>
          <w:marRight w:val="0"/>
          <w:marTop w:val="0"/>
          <w:marBottom w:val="0"/>
          <w:divBdr>
            <w:top w:val="none" w:sz="0" w:space="0" w:color="auto"/>
            <w:left w:val="none" w:sz="0" w:space="0" w:color="auto"/>
            <w:bottom w:val="none" w:sz="0" w:space="0" w:color="auto"/>
            <w:right w:val="none" w:sz="0" w:space="0" w:color="auto"/>
          </w:divBdr>
        </w:div>
        <w:div w:id="1313094348">
          <w:marLeft w:val="360"/>
          <w:marRight w:val="0"/>
          <w:marTop w:val="0"/>
          <w:marBottom w:val="0"/>
          <w:divBdr>
            <w:top w:val="none" w:sz="0" w:space="0" w:color="auto"/>
            <w:left w:val="none" w:sz="0" w:space="0" w:color="auto"/>
            <w:bottom w:val="none" w:sz="0" w:space="0" w:color="auto"/>
            <w:right w:val="none" w:sz="0" w:space="0" w:color="auto"/>
          </w:divBdr>
        </w:div>
      </w:divsChild>
    </w:div>
    <w:div w:id="926572924">
      <w:bodyDiv w:val="1"/>
      <w:marLeft w:val="0"/>
      <w:marRight w:val="0"/>
      <w:marTop w:val="0"/>
      <w:marBottom w:val="0"/>
      <w:divBdr>
        <w:top w:val="none" w:sz="0" w:space="0" w:color="auto"/>
        <w:left w:val="none" w:sz="0" w:space="0" w:color="auto"/>
        <w:bottom w:val="none" w:sz="0" w:space="0" w:color="auto"/>
        <w:right w:val="none" w:sz="0" w:space="0" w:color="auto"/>
      </w:divBdr>
    </w:div>
    <w:div w:id="1118569217">
      <w:bodyDiv w:val="1"/>
      <w:marLeft w:val="0"/>
      <w:marRight w:val="0"/>
      <w:marTop w:val="0"/>
      <w:marBottom w:val="0"/>
      <w:divBdr>
        <w:top w:val="none" w:sz="0" w:space="0" w:color="auto"/>
        <w:left w:val="none" w:sz="0" w:space="0" w:color="auto"/>
        <w:bottom w:val="none" w:sz="0" w:space="0" w:color="auto"/>
        <w:right w:val="none" w:sz="0" w:space="0" w:color="auto"/>
      </w:divBdr>
    </w:div>
    <w:div w:id="1368405876">
      <w:bodyDiv w:val="1"/>
      <w:marLeft w:val="0"/>
      <w:marRight w:val="0"/>
      <w:marTop w:val="0"/>
      <w:marBottom w:val="0"/>
      <w:divBdr>
        <w:top w:val="none" w:sz="0" w:space="0" w:color="auto"/>
        <w:left w:val="none" w:sz="0" w:space="0" w:color="auto"/>
        <w:bottom w:val="none" w:sz="0" w:space="0" w:color="auto"/>
        <w:right w:val="none" w:sz="0" w:space="0" w:color="auto"/>
      </w:divBdr>
    </w:div>
    <w:div w:id="1620332969">
      <w:bodyDiv w:val="1"/>
      <w:marLeft w:val="0"/>
      <w:marRight w:val="0"/>
      <w:marTop w:val="0"/>
      <w:marBottom w:val="0"/>
      <w:divBdr>
        <w:top w:val="none" w:sz="0" w:space="0" w:color="auto"/>
        <w:left w:val="none" w:sz="0" w:space="0" w:color="auto"/>
        <w:bottom w:val="none" w:sz="0" w:space="0" w:color="auto"/>
        <w:right w:val="none" w:sz="0" w:space="0" w:color="auto"/>
      </w:divBdr>
      <w:divsChild>
        <w:div w:id="425610903">
          <w:marLeft w:val="0"/>
          <w:marRight w:val="0"/>
          <w:marTop w:val="0"/>
          <w:marBottom w:val="0"/>
          <w:divBdr>
            <w:top w:val="none" w:sz="0" w:space="0" w:color="auto"/>
            <w:left w:val="none" w:sz="0" w:space="0" w:color="auto"/>
            <w:bottom w:val="none" w:sz="0" w:space="0" w:color="auto"/>
            <w:right w:val="none" w:sz="0" w:space="0" w:color="auto"/>
          </w:divBdr>
        </w:div>
        <w:div w:id="1914896650">
          <w:marLeft w:val="0"/>
          <w:marRight w:val="0"/>
          <w:marTop w:val="150"/>
          <w:marBottom w:val="0"/>
          <w:divBdr>
            <w:top w:val="none" w:sz="0" w:space="0" w:color="auto"/>
            <w:left w:val="none" w:sz="0" w:space="0" w:color="auto"/>
            <w:bottom w:val="none" w:sz="0" w:space="0" w:color="auto"/>
            <w:right w:val="none" w:sz="0" w:space="0" w:color="auto"/>
          </w:divBdr>
          <w:divsChild>
            <w:div w:id="236331602">
              <w:marLeft w:val="0"/>
              <w:marRight w:val="0"/>
              <w:marTop w:val="0"/>
              <w:marBottom w:val="0"/>
              <w:divBdr>
                <w:top w:val="none" w:sz="0" w:space="0" w:color="auto"/>
                <w:left w:val="none" w:sz="0" w:space="0" w:color="auto"/>
                <w:bottom w:val="none" w:sz="0" w:space="0" w:color="auto"/>
                <w:right w:val="none" w:sz="0" w:space="0" w:color="auto"/>
              </w:divBdr>
            </w:div>
            <w:div w:id="867067844">
              <w:marLeft w:val="0"/>
              <w:marRight w:val="0"/>
              <w:marTop w:val="0"/>
              <w:marBottom w:val="0"/>
              <w:divBdr>
                <w:top w:val="none" w:sz="0" w:space="0" w:color="auto"/>
                <w:left w:val="none" w:sz="0" w:space="0" w:color="auto"/>
                <w:bottom w:val="none" w:sz="0" w:space="0" w:color="auto"/>
                <w:right w:val="none" w:sz="0" w:space="0" w:color="auto"/>
              </w:divBdr>
            </w:div>
            <w:div w:id="1704671570">
              <w:marLeft w:val="0"/>
              <w:marRight w:val="0"/>
              <w:marTop w:val="0"/>
              <w:marBottom w:val="0"/>
              <w:divBdr>
                <w:top w:val="none" w:sz="0" w:space="0" w:color="auto"/>
                <w:left w:val="none" w:sz="0" w:space="0" w:color="auto"/>
                <w:bottom w:val="none" w:sz="0" w:space="0" w:color="auto"/>
                <w:right w:val="none" w:sz="0" w:space="0" w:color="auto"/>
              </w:divBdr>
            </w:div>
            <w:div w:id="581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3864">
      <w:bodyDiv w:val="1"/>
      <w:marLeft w:val="0"/>
      <w:marRight w:val="0"/>
      <w:marTop w:val="0"/>
      <w:marBottom w:val="0"/>
      <w:divBdr>
        <w:top w:val="none" w:sz="0" w:space="0" w:color="auto"/>
        <w:left w:val="none" w:sz="0" w:space="0" w:color="auto"/>
        <w:bottom w:val="none" w:sz="0" w:space="0" w:color="auto"/>
        <w:right w:val="none" w:sz="0" w:space="0" w:color="auto"/>
      </w:divBdr>
    </w:div>
    <w:div w:id="2040812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eyspire 2024 1">
      <a:dk1>
        <a:srgbClr val="000000"/>
      </a:dk1>
      <a:lt1>
        <a:srgbClr val="FFFFFF"/>
      </a:lt1>
      <a:dk2>
        <a:srgbClr val="06038D"/>
      </a:dk2>
      <a:lt2>
        <a:srgbClr val="E8E8E8"/>
      </a:lt2>
      <a:accent1>
        <a:srgbClr val="0083CA"/>
      </a:accent1>
      <a:accent2>
        <a:srgbClr val="41B6E6"/>
      </a:accent2>
      <a:accent3>
        <a:srgbClr val="47D7AC"/>
      </a:accent3>
      <a:accent4>
        <a:srgbClr val="00B140"/>
      </a:accent4>
      <a:accent5>
        <a:srgbClr val="F93822"/>
      </a:accent5>
      <a:accent6>
        <a:srgbClr val="F1B334"/>
      </a:accent6>
      <a:hlink>
        <a:srgbClr val="0033A0"/>
      </a:hlink>
      <a:folHlink>
        <a:srgbClr val="A15B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7d5d2a-5986-4842-a755-f9cb12d93536" xsi:nil="true"/>
    <lcf76f155ced4ddcb4097134ff3c332f xmlns="40d85cc9-1426-416d-b1ae-3edc3561ad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D85C8E6B4674D8FF0E575CB44FDA7" ma:contentTypeVersion="14" ma:contentTypeDescription="Create a new document." ma:contentTypeScope="" ma:versionID="7a97be421edee4589ea0b8d5de331cc4">
  <xsd:schema xmlns:xsd="http://www.w3.org/2001/XMLSchema" xmlns:xs="http://www.w3.org/2001/XMLSchema" xmlns:p="http://schemas.microsoft.com/office/2006/metadata/properties" xmlns:ns2="40d85cc9-1426-416d-b1ae-3edc3561ad8a" xmlns:ns3="e67d5d2a-5986-4842-a755-f9cb12d93536" targetNamespace="http://schemas.microsoft.com/office/2006/metadata/properties" ma:root="true" ma:fieldsID="6a8f822ae0939e7125fd56d3b1b3f5b6" ns2:_="" ns3:_="">
    <xsd:import namespace="40d85cc9-1426-416d-b1ae-3edc3561ad8a"/>
    <xsd:import namespace="e67d5d2a-5986-4842-a755-f9cb12d935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85cc9-1426-416d-b1ae-3edc3561ad8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2d27ad4-5677-486b-b5c9-56d049527a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d5d2a-5986-4842-a755-f9cb12d935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077612b-a8e4-4547-8aaf-acf4bdc37ce4}" ma:internalName="TaxCatchAll" ma:showField="CatchAllData" ma:web="e67d5d2a-5986-4842-a755-f9cb12d93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753EC-2704-422E-BBAE-DF640B721442}">
  <ds:schemaRefs>
    <ds:schemaRef ds:uri="http://schemas.microsoft.com/office/2006/metadata/properties"/>
    <ds:schemaRef ds:uri="http://schemas.microsoft.com/office/infopath/2007/PartnerControls"/>
    <ds:schemaRef ds:uri="e67d5d2a-5986-4842-a755-f9cb12d93536"/>
    <ds:schemaRef ds:uri="40d85cc9-1426-416d-b1ae-3edc3561ad8a"/>
  </ds:schemaRefs>
</ds:datastoreItem>
</file>

<file path=customXml/itemProps2.xml><?xml version="1.0" encoding="utf-8"?>
<ds:datastoreItem xmlns:ds="http://schemas.openxmlformats.org/officeDocument/2006/customXml" ds:itemID="{98210031-C1F6-45D8-B829-FF936D58BAEF}">
  <ds:schemaRefs>
    <ds:schemaRef ds:uri="http://schemas.microsoft.com/sharepoint/v3/contenttype/forms"/>
  </ds:schemaRefs>
</ds:datastoreItem>
</file>

<file path=customXml/itemProps3.xml><?xml version="1.0" encoding="utf-8"?>
<ds:datastoreItem xmlns:ds="http://schemas.openxmlformats.org/officeDocument/2006/customXml" ds:itemID="{419F2F33-B955-4C7F-BD56-5A3449DEF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85cc9-1426-416d-b1ae-3edc3561ad8a"/>
    <ds:schemaRef ds:uri="e67d5d2a-5986-4842-a755-f9cb12d93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Speed</dc:creator>
  <cp:keywords/>
  <dc:description/>
  <cp:lastModifiedBy>Jason Witzell</cp:lastModifiedBy>
  <cp:revision>3</cp:revision>
  <cp:lastPrinted>2016-01-11T20:56:00Z</cp:lastPrinted>
  <dcterms:created xsi:type="dcterms:W3CDTF">2025-05-07T15:14:00Z</dcterms:created>
  <dcterms:modified xsi:type="dcterms:W3CDTF">2025-05-07T15:22:00Z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0x0101007C0D85C8E6B4674D8FF0E575CB44FDA7</vt:lpwstr>
  </property>
</Properties>
</file>